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Santa Catarina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-720087</wp:posOffset>
            </wp:positionH>
            <wp:positionV relativeFrom="paragraph">
              <wp:posOffset>2540</wp:posOffset>
            </wp:positionV>
            <wp:extent cx="571500" cy="571500"/>
            <wp:effectExtent b="0" l="0" r="0" t="0"/>
            <wp:wrapTopAndBottom distB="0" dist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4194809</wp:posOffset>
            </wp:positionH>
            <wp:positionV relativeFrom="paragraph">
              <wp:posOffset>116840</wp:posOffset>
            </wp:positionV>
            <wp:extent cx="664845" cy="457200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Comunicação e Expressão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do Curso de Graduação em Letras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Línguas Estrangeiras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33333"/>
          <w:sz w:val="17"/>
          <w:szCs w:val="17"/>
          <w:highlight w:val="white"/>
          <w:rtl w:val="0"/>
        </w:rPr>
        <w:t xml:space="preserve">"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7"/>
          <w:szCs w:val="17"/>
          <w:highlight w:val="white"/>
          <w:rtl w:val="0"/>
        </w:rPr>
        <w:t xml:space="preserve">A moralidade enquanto variável não pecuniária na decisão de sonegar impostos: uma abordagem da Teoria das Fundações Morais</w:t>
      </w:r>
      <w:r w:rsidDel="00000000" w:rsidR="00000000" w:rsidRPr="00000000">
        <w:rPr>
          <w:rFonts w:ascii="Verdana" w:cs="Verdana" w:eastAsia="Verdana" w:hAnsi="Verdana"/>
          <w:color w:val="333333"/>
          <w:sz w:val="17"/>
          <w:szCs w:val="17"/>
          <w:highlight w:val="white"/>
          <w:rtl w:val="0"/>
        </w:rPr>
        <w:t xml:space="preserve">"</w:t>
      </w:r>
    </w:p>
    <w:p w:rsidR="00000000" w:rsidDel="00000000" w:rsidP="00000000" w:rsidRDefault="00000000" w:rsidRPr="00000000" w14:paraId="00000006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TRANCAMENTO DE SEMESTRE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completo: 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 UFSC: 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Telefone: 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Ind w:w="28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tblGridChange w:id="0">
          <w:tblGrid>
            <w:gridCol w:w="41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Semestre(s) que deseja trancar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Justificativa: 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Florianópolis, ___________________ de 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.1.</w:t>
      </w:r>
    </w:p>
    <w:p w:rsidR="00000000" w:rsidDel="00000000" w:rsidP="00000000" w:rsidRDefault="00000000" w:rsidRPr="00000000" w14:paraId="00000019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OBSERVAÇÃO: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jc w:val="both"/>
        <w:rPr>
          <w:b w:val="0"/>
          <w:smallCaps w:val="0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TRAZER OBRIGATORIAMENTE A NEGATIVA DE DÉBITO DA BIBLIOTECA CENTRAL DA UFSC. </w:t>
      </w: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9m3v5MpepiGJX5XcrxtbFTTMtw==">AMUW2mUEuLJD1rlLSkKoYd8+uj731Q+6qIXXpFuEMMpWqJQiBiSTNg3cVDnFuWPN7SGptG6Vj5nI5EJ0BG/ZGb9N9AfCy0hp07VB754rqpv9qJgnwv3f8sU=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